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91" w:rsidRDefault="00EC34D2">
      <w:pPr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附件</w:t>
      </w:r>
    </w:p>
    <w:p w:rsidR="00847591" w:rsidRDefault="00847591">
      <w:pPr>
        <w:rPr>
          <w:rFonts w:ascii="仿宋_GB2312" w:eastAsia="仿宋_GB2312" w:hAnsi="黑体"/>
          <w:sz w:val="24"/>
          <w:szCs w:val="24"/>
        </w:rPr>
      </w:pPr>
    </w:p>
    <w:p w:rsidR="00847591" w:rsidRDefault="00EC34D2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证券期货行业网络安全创新实验室</w:t>
      </w:r>
    </w:p>
    <w:p w:rsidR="00847591" w:rsidRDefault="00EC34D2">
      <w:pPr>
        <w:jc w:val="center"/>
        <w:rPr>
          <w:rFonts w:ascii="仿宋_GB2312" w:eastAsia="仿宋_GB2312" w:hAnsi="黑体"/>
          <w:sz w:val="24"/>
          <w:szCs w:val="24"/>
        </w:rPr>
      </w:pPr>
      <w:r>
        <w:rPr>
          <w:rFonts w:ascii="黑体" w:eastAsia="黑体" w:hAnsi="黑体" w:cs="黑体" w:hint="eastAsia"/>
          <w:sz w:val="30"/>
          <w:szCs w:val="30"/>
        </w:rPr>
        <w:t>202</w:t>
      </w:r>
      <w:r>
        <w:rPr>
          <w:rFonts w:ascii="黑体" w:eastAsia="黑体" w:hAnsi="黑体" w:cs="黑体" w:hint="eastAsia"/>
          <w:sz w:val="30"/>
          <w:szCs w:val="30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年度课题</w:t>
      </w:r>
      <w:r>
        <w:rPr>
          <w:rFonts w:ascii="黑体" w:eastAsia="黑体" w:hAnsi="黑体" w:cs="黑体" w:hint="eastAsia"/>
          <w:sz w:val="30"/>
          <w:szCs w:val="30"/>
        </w:rPr>
        <w:t>结题与</w:t>
      </w:r>
      <w:r>
        <w:rPr>
          <w:rFonts w:ascii="黑体" w:eastAsia="黑体" w:hAnsi="黑体" w:cs="黑体" w:hint="eastAsia"/>
          <w:sz w:val="30"/>
          <w:szCs w:val="30"/>
        </w:rPr>
        <w:t>优秀</w:t>
      </w:r>
      <w:r>
        <w:rPr>
          <w:rFonts w:ascii="黑体" w:eastAsia="黑体" w:hAnsi="黑体" w:cs="黑体" w:hint="eastAsia"/>
          <w:sz w:val="30"/>
          <w:szCs w:val="30"/>
        </w:rPr>
        <w:t>名单</w:t>
      </w:r>
    </w:p>
    <w:p w:rsidR="00847591" w:rsidRDefault="00847591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847591" w:rsidRDefault="00EC34D2">
      <w:pPr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结题课题（排名不分先后）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tbl>
      <w:tblPr>
        <w:tblW w:w="7812" w:type="dxa"/>
        <w:tblInd w:w="93" w:type="dxa"/>
        <w:tblLayout w:type="fixed"/>
        <w:tblLook w:val="04A0"/>
      </w:tblPr>
      <w:tblGrid>
        <w:gridCol w:w="714"/>
        <w:gridCol w:w="5588"/>
        <w:gridCol w:w="1510"/>
      </w:tblGrid>
      <w:tr w:rsidR="00847591">
        <w:trPr>
          <w:trHeight w:val="52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申报单位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探索集中交易系统的应用数据安全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国密改造</w:t>
            </w:r>
            <w:proofErr w:type="gram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银河证券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基于人工智能的加密流量威胁检测技术研究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国泰海通</w:t>
            </w:r>
            <w:proofErr w:type="gramEnd"/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IPDR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框架的数据安全监测与泄露追踪溯源研究与实现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网络交易系统抗量子密码技术应用方案验证课题申报书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信建投</w:t>
            </w:r>
            <w:proofErr w:type="gramEnd"/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大数据分析下的勒索软件防护体系建设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基于国密算法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的互联网应用层数据安全防护技术研究与实践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国泰海通</w:t>
            </w:r>
            <w:proofErr w:type="gramEnd"/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基于大数据和智能算法识别技术的一站式数据库健康监测平台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中泰证券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信创环境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下容器安全运行管理实践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东方证券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内外一体的攻击面管理运营与风险可视化监测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证券经营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机构数智化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IT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安全合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应用实践课题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国都证券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API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接口及数据资产暴露面收敛实践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华鑫证券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数据安全自动化评估系统应用与实践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金证金科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融合国密能力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的一体化云原生接入网关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国泰海通</w:t>
            </w:r>
            <w:proofErr w:type="gramEnd"/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DataOps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框架下的数据分级管理与优化研究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中泰证券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基于数据自动分类分级的数据全生命周期安全管理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东证期货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基于安全场景的零信任动态访问控制研究与实践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兴业证券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基于数据关联分析的信息资产安全风险可视化研究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中银证券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数字安全挂图作战在证券行业的应用实践研究（二期）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东吴证券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企业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级多源威胁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情报评价方法及评估体系的研究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国联民生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大语言模型在证券行业开发安全领域的应用及实践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海云安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基于安全大模型提升网络安全监测响应能力的应用实践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光大证券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自动化安全合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平台的建设研究与实践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西部证券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证券公司安全数据治理应用实践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首创证券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国泰君安基于大模型的安全创新应用实践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国泰海通</w:t>
            </w:r>
            <w:proofErr w:type="gramEnd"/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云原生安全运营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国联民生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高效特权账号管理体系技术研究与落地实践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国联民生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基于隐私计算的企业综合评价解决方案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三未信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安全智脑大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模型的企业边界安全三层防护体系探索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中金公司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驱动的全流量分析在证券业务安全性中的应用研究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国盛证券</w:t>
            </w:r>
          </w:p>
        </w:tc>
      </w:tr>
      <w:tr w:rsidR="00847591">
        <w:trPr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HumanRisk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证券从业人员数字安全合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教育与风险度量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易念信息</w:t>
            </w:r>
            <w:proofErr w:type="gramEnd"/>
          </w:p>
        </w:tc>
      </w:tr>
    </w:tbl>
    <w:p w:rsidR="00847591" w:rsidRDefault="00847591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47591" w:rsidRDefault="00EC34D2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优秀课题（排名不分先后）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tbl>
      <w:tblPr>
        <w:tblW w:w="78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5541"/>
        <w:gridCol w:w="1549"/>
      </w:tblGrid>
      <w:tr w:rsidR="00847591">
        <w:trPr>
          <w:trHeight w:val="480"/>
        </w:trPr>
        <w:tc>
          <w:tcPr>
            <w:tcW w:w="730" w:type="dxa"/>
          </w:tcPr>
          <w:p w:rsidR="00847591" w:rsidRDefault="00EC34D2">
            <w:pPr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5541" w:type="dxa"/>
          </w:tcPr>
          <w:p w:rsidR="00847591" w:rsidRDefault="00EC34D2">
            <w:pPr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课题名称</w:t>
            </w:r>
          </w:p>
        </w:tc>
        <w:tc>
          <w:tcPr>
            <w:tcW w:w="1549" w:type="dxa"/>
          </w:tcPr>
          <w:p w:rsidR="00847591" w:rsidRDefault="00EC34D2">
            <w:pPr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牵头单位</w:t>
            </w:r>
          </w:p>
        </w:tc>
      </w:tr>
      <w:tr w:rsidR="00847591">
        <w:trPr>
          <w:trHeight w:val="90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基于安全大模型提升网络安全监测响应能力的应用实践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光大证券</w:t>
            </w:r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探索集中交易系统的应用数据安全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国密改造</w:t>
            </w:r>
            <w:proofErr w:type="gramEnd"/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银河证券</w:t>
            </w:r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基于人工智能的加密流量威胁检测技术研究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国泰海通</w:t>
            </w:r>
            <w:proofErr w:type="gramEnd"/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高效特权账号管理体系技术研究与落地实践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国联民生</w:t>
            </w:r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大语言模型在证券行业开发安全领域的应用及实践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海云安</w:t>
            </w:r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API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接口及数据资产暴露面收敛实践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华鑫证券</w:t>
            </w:r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融合国密能力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的一体化云原生接入网关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国泰海通</w:t>
            </w:r>
            <w:proofErr w:type="gramEnd"/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自动化安全合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平台的建设研究与实践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西部证券</w:t>
            </w:r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驱动的全流量分析在证券业务安全性中的应用研究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国盛证券</w:t>
            </w:r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IPDR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框架的数据安全监测与泄露追踪溯源研究与实现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南京证券</w:t>
            </w:r>
          </w:p>
        </w:tc>
      </w:tr>
      <w:tr w:rsidR="00847591">
        <w:trPr>
          <w:trHeight w:val="323"/>
        </w:trPr>
        <w:tc>
          <w:tcPr>
            <w:tcW w:w="730" w:type="dxa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5541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数字安全挂图作战在证券行业的应用实践研究（二期）</w:t>
            </w:r>
          </w:p>
        </w:tc>
        <w:tc>
          <w:tcPr>
            <w:tcW w:w="1549" w:type="dxa"/>
            <w:vAlign w:val="center"/>
          </w:tcPr>
          <w:p w:rsidR="00847591" w:rsidRDefault="00EC34D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东吴证券</w:t>
            </w:r>
          </w:p>
        </w:tc>
      </w:tr>
    </w:tbl>
    <w:p w:rsidR="00847591" w:rsidRDefault="00847591">
      <w:pPr>
        <w:widowControl/>
        <w:jc w:val="left"/>
        <w:rPr>
          <w:rFonts w:ascii="仿宋_GB2312" w:eastAsia="仿宋_GB2312" w:hAnsi="仿宋"/>
          <w:sz w:val="30"/>
          <w:szCs w:val="30"/>
        </w:rPr>
      </w:pPr>
    </w:p>
    <w:sectPr w:rsidR="00847591" w:rsidSect="0084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4D2" w:rsidRDefault="00EC34D2" w:rsidP="00EC34D2">
      <w:r>
        <w:separator/>
      </w:r>
    </w:p>
  </w:endnote>
  <w:endnote w:type="continuationSeparator" w:id="1">
    <w:p w:rsidR="00EC34D2" w:rsidRDefault="00EC34D2" w:rsidP="00EC3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4D2" w:rsidRDefault="00EC34D2" w:rsidP="00EC34D2">
      <w:r>
        <w:separator/>
      </w:r>
    </w:p>
  </w:footnote>
  <w:footnote w:type="continuationSeparator" w:id="1">
    <w:p w:rsidR="00EC34D2" w:rsidRDefault="00EC34D2" w:rsidP="00EC3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RiOTcwMjk0NTBhYWFmZTY2M2ZkMzUzYjgxZGZmN2MifQ=="/>
  </w:docVars>
  <w:rsids>
    <w:rsidRoot w:val="00023303"/>
    <w:rsid w:val="ED69E98C"/>
    <w:rsid w:val="FF6E2968"/>
    <w:rsid w:val="00023303"/>
    <w:rsid w:val="0003016E"/>
    <w:rsid w:val="00042DCA"/>
    <w:rsid w:val="00051571"/>
    <w:rsid w:val="000D1D78"/>
    <w:rsid w:val="001161B7"/>
    <w:rsid w:val="0014226A"/>
    <w:rsid w:val="00151444"/>
    <w:rsid w:val="00180065"/>
    <w:rsid w:val="00182500"/>
    <w:rsid w:val="001936E8"/>
    <w:rsid w:val="001C113F"/>
    <w:rsid w:val="001C4BDC"/>
    <w:rsid w:val="002079FA"/>
    <w:rsid w:val="00217F5E"/>
    <w:rsid w:val="00230BAB"/>
    <w:rsid w:val="002411B5"/>
    <w:rsid w:val="00241545"/>
    <w:rsid w:val="00253CD0"/>
    <w:rsid w:val="0027033D"/>
    <w:rsid w:val="00275AC1"/>
    <w:rsid w:val="00281F66"/>
    <w:rsid w:val="002866EC"/>
    <w:rsid w:val="00290836"/>
    <w:rsid w:val="0029292D"/>
    <w:rsid w:val="002A0ECA"/>
    <w:rsid w:val="002D6EDF"/>
    <w:rsid w:val="00335BC3"/>
    <w:rsid w:val="003412B0"/>
    <w:rsid w:val="00344868"/>
    <w:rsid w:val="00372421"/>
    <w:rsid w:val="0037629A"/>
    <w:rsid w:val="00381413"/>
    <w:rsid w:val="00397E5B"/>
    <w:rsid w:val="003A0240"/>
    <w:rsid w:val="003A190E"/>
    <w:rsid w:val="004217A1"/>
    <w:rsid w:val="00427649"/>
    <w:rsid w:val="00435622"/>
    <w:rsid w:val="00437F13"/>
    <w:rsid w:val="00443788"/>
    <w:rsid w:val="00485292"/>
    <w:rsid w:val="004866F3"/>
    <w:rsid w:val="004A17B1"/>
    <w:rsid w:val="004A2E15"/>
    <w:rsid w:val="004C14C8"/>
    <w:rsid w:val="004C189B"/>
    <w:rsid w:val="004C6425"/>
    <w:rsid w:val="004F59B3"/>
    <w:rsid w:val="00503298"/>
    <w:rsid w:val="00562145"/>
    <w:rsid w:val="0057674F"/>
    <w:rsid w:val="00596277"/>
    <w:rsid w:val="005B5FF8"/>
    <w:rsid w:val="00627A39"/>
    <w:rsid w:val="00652D91"/>
    <w:rsid w:val="0066138A"/>
    <w:rsid w:val="006638DD"/>
    <w:rsid w:val="00671E49"/>
    <w:rsid w:val="00680D24"/>
    <w:rsid w:val="00682574"/>
    <w:rsid w:val="006854A3"/>
    <w:rsid w:val="00691A85"/>
    <w:rsid w:val="006A475F"/>
    <w:rsid w:val="006C4D74"/>
    <w:rsid w:val="006E62E4"/>
    <w:rsid w:val="007368AC"/>
    <w:rsid w:val="0074267B"/>
    <w:rsid w:val="00783480"/>
    <w:rsid w:val="007849DB"/>
    <w:rsid w:val="007914EA"/>
    <w:rsid w:val="00793215"/>
    <w:rsid w:val="00795DD1"/>
    <w:rsid w:val="007D1EA8"/>
    <w:rsid w:val="007D5905"/>
    <w:rsid w:val="007E3463"/>
    <w:rsid w:val="007F0A11"/>
    <w:rsid w:val="00847591"/>
    <w:rsid w:val="00863F23"/>
    <w:rsid w:val="00865E10"/>
    <w:rsid w:val="0087451A"/>
    <w:rsid w:val="008A6AC1"/>
    <w:rsid w:val="008A6BD7"/>
    <w:rsid w:val="008B429B"/>
    <w:rsid w:val="008D2CC9"/>
    <w:rsid w:val="008E4819"/>
    <w:rsid w:val="009009A2"/>
    <w:rsid w:val="00903B46"/>
    <w:rsid w:val="00947A5D"/>
    <w:rsid w:val="00976D89"/>
    <w:rsid w:val="00982900"/>
    <w:rsid w:val="009A7B70"/>
    <w:rsid w:val="009B6886"/>
    <w:rsid w:val="00A15DBF"/>
    <w:rsid w:val="00A42533"/>
    <w:rsid w:val="00A4336F"/>
    <w:rsid w:val="00A456F4"/>
    <w:rsid w:val="00A47584"/>
    <w:rsid w:val="00A4762B"/>
    <w:rsid w:val="00A6458D"/>
    <w:rsid w:val="00AE4BFF"/>
    <w:rsid w:val="00B10FAC"/>
    <w:rsid w:val="00B276B8"/>
    <w:rsid w:val="00B3426F"/>
    <w:rsid w:val="00B4143E"/>
    <w:rsid w:val="00B45F31"/>
    <w:rsid w:val="00B635D0"/>
    <w:rsid w:val="00B65143"/>
    <w:rsid w:val="00B81501"/>
    <w:rsid w:val="00B8434A"/>
    <w:rsid w:val="00BA180C"/>
    <w:rsid w:val="00C2140A"/>
    <w:rsid w:val="00C23CF7"/>
    <w:rsid w:val="00C71171"/>
    <w:rsid w:val="00C732EB"/>
    <w:rsid w:val="00C8048C"/>
    <w:rsid w:val="00C8070C"/>
    <w:rsid w:val="00CA00B5"/>
    <w:rsid w:val="00CA3AC1"/>
    <w:rsid w:val="00CC011F"/>
    <w:rsid w:val="00CC01C7"/>
    <w:rsid w:val="00CE0471"/>
    <w:rsid w:val="00D327EF"/>
    <w:rsid w:val="00D36915"/>
    <w:rsid w:val="00D66442"/>
    <w:rsid w:val="00D81482"/>
    <w:rsid w:val="00D81C94"/>
    <w:rsid w:val="00D8216D"/>
    <w:rsid w:val="00D85A39"/>
    <w:rsid w:val="00DA0FB9"/>
    <w:rsid w:val="00DB0FE0"/>
    <w:rsid w:val="00DC602C"/>
    <w:rsid w:val="00DF6D4B"/>
    <w:rsid w:val="00E3387A"/>
    <w:rsid w:val="00E42118"/>
    <w:rsid w:val="00E511DE"/>
    <w:rsid w:val="00E753BF"/>
    <w:rsid w:val="00EA5897"/>
    <w:rsid w:val="00EC34D2"/>
    <w:rsid w:val="00EE608D"/>
    <w:rsid w:val="00EF022E"/>
    <w:rsid w:val="00F25827"/>
    <w:rsid w:val="00F4079B"/>
    <w:rsid w:val="00F63AC5"/>
    <w:rsid w:val="00F742A5"/>
    <w:rsid w:val="00F84BF9"/>
    <w:rsid w:val="00FA5888"/>
    <w:rsid w:val="00FC1456"/>
    <w:rsid w:val="06701FA0"/>
    <w:rsid w:val="090265D2"/>
    <w:rsid w:val="0A801C02"/>
    <w:rsid w:val="0B1A516F"/>
    <w:rsid w:val="11980D7F"/>
    <w:rsid w:val="13601445"/>
    <w:rsid w:val="14664110"/>
    <w:rsid w:val="146656B6"/>
    <w:rsid w:val="19C55788"/>
    <w:rsid w:val="1F6A1919"/>
    <w:rsid w:val="25CC4B8B"/>
    <w:rsid w:val="29DB6C82"/>
    <w:rsid w:val="2C7F3D85"/>
    <w:rsid w:val="2EC3111F"/>
    <w:rsid w:val="2F1B4922"/>
    <w:rsid w:val="318E3CA5"/>
    <w:rsid w:val="35140412"/>
    <w:rsid w:val="372712EB"/>
    <w:rsid w:val="39B514BB"/>
    <w:rsid w:val="3C0C61BD"/>
    <w:rsid w:val="4A9F5923"/>
    <w:rsid w:val="505356E5"/>
    <w:rsid w:val="537E5798"/>
    <w:rsid w:val="54973C28"/>
    <w:rsid w:val="5F390670"/>
    <w:rsid w:val="63FF57A9"/>
    <w:rsid w:val="66986875"/>
    <w:rsid w:val="6A970B24"/>
    <w:rsid w:val="7AB329F7"/>
    <w:rsid w:val="7AEE3717"/>
    <w:rsid w:val="7EEF7A9D"/>
    <w:rsid w:val="7F15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75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847591"/>
    <w:pPr>
      <w:ind w:firstLineChars="100" w:firstLine="420"/>
    </w:pPr>
  </w:style>
  <w:style w:type="paragraph" w:styleId="a4">
    <w:name w:val="Body Text"/>
    <w:basedOn w:val="a"/>
    <w:qFormat/>
    <w:rsid w:val="00847591"/>
    <w:pPr>
      <w:spacing w:after="120"/>
    </w:pPr>
  </w:style>
  <w:style w:type="paragraph" w:styleId="a5">
    <w:name w:val="Body Text Indent"/>
    <w:basedOn w:val="a"/>
    <w:link w:val="Char"/>
    <w:qFormat/>
    <w:rsid w:val="00847591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 w:cs="Times New Roman"/>
      <w:sz w:val="30"/>
      <w:szCs w:val="24"/>
    </w:rPr>
  </w:style>
  <w:style w:type="paragraph" w:styleId="a6">
    <w:name w:val="Balloon Text"/>
    <w:basedOn w:val="a"/>
    <w:link w:val="Char0"/>
    <w:uiPriority w:val="99"/>
    <w:semiHidden/>
    <w:unhideWhenUsed/>
    <w:qFormat/>
    <w:rsid w:val="008475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847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847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rsid w:val="00847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8"/>
    <w:uiPriority w:val="99"/>
    <w:qFormat/>
    <w:rsid w:val="00847591"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sid w:val="00847591"/>
    <w:rPr>
      <w:sz w:val="18"/>
      <w:szCs w:val="18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847591"/>
    <w:rPr>
      <w:sz w:val="18"/>
      <w:szCs w:val="18"/>
    </w:rPr>
  </w:style>
  <w:style w:type="character" w:customStyle="1" w:styleId="Char">
    <w:name w:val="正文文本缩进 Char"/>
    <w:basedOn w:val="a1"/>
    <w:link w:val="a5"/>
    <w:qFormat/>
    <w:rsid w:val="00847591"/>
    <w:rPr>
      <w:rFonts w:ascii="仿宋_GB2312" w:eastAsia="仿宋_GB2312" w:hAnsi="Times New Roman" w:cs="Times New Roman"/>
      <w:sz w:val="30"/>
      <w:szCs w:val="24"/>
    </w:rPr>
  </w:style>
  <w:style w:type="character" w:customStyle="1" w:styleId="font11">
    <w:name w:val="font11"/>
    <w:basedOn w:val="a1"/>
    <w:qFormat/>
    <w:rsid w:val="00847591"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D4737685-2F02-4AAF-A325-162648017A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王昕(返回主办人（会签修改）)</dc:creator>
  <cp:lastModifiedBy>yliu</cp:lastModifiedBy>
  <cp:revision>2</cp:revision>
  <cp:lastPrinted>2024-10-19T13:14:00Z</cp:lastPrinted>
  <dcterms:created xsi:type="dcterms:W3CDTF">2025-11-12T06:18:00Z</dcterms:created>
  <dcterms:modified xsi:type="dcterms:W3CDTF">2025-11-12T06:18:00Z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1486C50653FA4D02915533852BA57831</vt:lpwstr>
  </property>
  <property fmtid="{D5CDD505-2E9C-101B-9397-08002B2CF9AE}" pid="4" name="KSOTemplateDocerSaveRecord">
    <vt:lpwstr>eyJoZGlkIjoiY2MzYjRkMWI1NTM4ZjYwNmE5OGQ1NmEyYjc2MTA3MTIifQ==</vt:lpwstr>
  </property>
</Properties>
</file>